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3177"/>
        <w:gridCol w:w="2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宋体" w:eastAsia="黑体" w:cs="Arial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黑体" w:hAnsi="宋体" w:eastAsia="黑体" w:cs="Arial"/>
                <w:b/>
                <w:kern w:val="0"/>
                <w:sz w:val="44"/>
                <w:szCs w:val="44"/>
              </w:rPr>
              <w:t>2018</w:t>
            </w:r>
            <w:r>
              <w:rPr>
                <w:rFonts w:hint="eastAsia" w:ascii="黑体" w:hAnsi="宋体" w:eastAsia="黑体" w:cs="Arial"/>
                <w:b/>
                <w:kern w:val="0"/>
                <w:sz w:val="44"/>
                <w:szCs w:val="44"/>
              </w:rPr>
              <w:t>届毕业生资源信息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系别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毕业生人数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会计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电子信息工程系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电子信息工程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本科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工商管理系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中小企业创业与经营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计算机科学与工程系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数字媒体技术（本科）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动漫设计与制作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计算机多媒体技术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经济与贸易系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金融管理与实务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美术设计系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商务日语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应用英语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物流与公共事务管理系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物流管理（本科）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物流管理（专科）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音乐系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表演艺术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4802</w:t>
            </w:r>
          </w:p>
        </w:tc>
      </w:tr>
    </w:tbl>
    <w:p>
      <w:pPr>
        <w:pStyle w:val="4"/>
        <w:ind w:left="1320" w:firstLine="0" w:firstLineChars="0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5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Administrator.USER-20170608ZY</dc:creator>
  <cp:lastModifiedBy>Administrator</cp:lastModifiedBy>
  <dcterms:modified xsi:type="dcterms:W3CDTF">2017-10-20T07:06:51Z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